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BF0E9" w14:textId="77777777" w:rsidR="00F21B73" w:rsidRPr="00F21B73" w:rsidRDefault="00F21B73" w:rsidP="00F21B73">
      <w:pPr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St Colmcille’s Primary School</w:t>
      </w:r>
    </w:p>
    <w:p w14:paraId="3265F310" w14:textId="77777777" w:rsidR="00F21B73" w:rsidRPr="00F21B73" w:rsidRDefault="00F21B73" w:rsidP="00F21B73">
      <w:pPr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Organisation of Classes-2023/2024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C2A6D2E" w14:textId="77777777" w:rsidR="00F21B73" w:rsidRPr="00F21B73" w:rsidRDefault="00F21B73" w:rsidP="00F21B73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2AB324F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0CB5EE2C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The purpose for this policy is to provide a consistent and transparent process for the establishment of a composite class in St Colmcille’s PS for the 2023-24 academic year.</w:t>
      </w:r>
    </w:p>
    <w:p w14:paraId="3A7ECFEC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 w:frame="1"/>
          <w:lang w:eastAsia="en-GB"/>
        </w:rPr>
        <w:t> </w:t>
      </w:r>
    </w:p>
    <w:p w14:paraId="2DFB6495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The predicted enrolment number of 416 pupils necessitates the organisation of a composite class. </w:t>
      </w:r>
    </w:p>
    <w:p w14:paraId="204E656C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7A95AA09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The following class structure was agreed at a Board of Governors’ meeting on Tuesday 28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vertAlign w:val="superscript"/>
          <w:lang w:eastAsia="en-GB"/>
        </w:rPr>
        <w:t>th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March 2023:</w:t>
      </w:r>
    </w:p>
    <w:p w14:paraId="5AA91840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tbl>
      <w:tblPr>
        <w:tblW w:w="0" w:type="auto"/>
        <w:tblInd w:w="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3"/>
        <w:gridCol w:w="737"/>
        <w:gridCol w:w="540"/>
        <w:gridCol w:w="540"/>
        <w:gridCol w:w="540"/>
        <w:gridCol w:w="540"/>
        <w:gridCol w:w="540"/>
        <w:gridCol w:w="540"/>
        <w:gridCol w:w="540"/>
        <w:gridCol w:w="490"/>
        <w:gridCol w:w="490"/>
        <w:gridCol w:w="490"/>
        <w:gridCol w:w="490"/>
      </w:tblGrid>
      <w:tr w:rsidR="00F21B73" w:rsidRPr="00F21B73" w14:paraId="4D00DFA3" w14:textId="77777777" w:rsidTr="00F21B73">
        <w:tc>
          <w:tcPr>
            <w:tcW w:w="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42831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6AA95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Y1</w:t>
            </w:r>
          </w:p>
        </w:tc>
        <w:tc>
          <w:tcPr>
            <w:tcW w:w="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AD43E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Y2</w:t>
            </w:r>
          </w:p>
        </w:tc>
        <w:tc>
          <w:tcPr>
            <w:tcW w:w="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D3E9E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Y2</w:t>
            </w:r>
          </w:p>
        </w:tc>
        <w:tc>
          <w:tcPr>
            <w:tcW w:w="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8030C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Y2/3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9C06B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B9A3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Y3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98A4A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B1E44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Y4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4C0F7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884A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Y5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86070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Y5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58E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Y6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65DE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Y6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6C419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Y7</w:t>
            </w:r>
          </w:p>
        </w:tc>
        <w:tc>
          <w:tcPr>
            <w:tcW w:w="4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DD3BE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Y7</w:t>
            </w:r>
          </w:p>
        </w:tc>
      </w:tr>
      <w:tr w:rsidR="00F21B73" w:rsidRPr="00F21B73" w14:paraId="006403E9" w14:textId="77777777" w:rsidTr="00F21B73">
        <w:tc>
          <w:tcPr>
            <w:tcW w:w="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5239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F1EA8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81DF2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C420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D917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1C8C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A14DB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27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EE1EA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D8501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45DA5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93419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05C8D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B7347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22D68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26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4B49D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1CFF8" w14:textId="77777777" w:rsidR="00F21B73" w:rsidRPr="00F21B73" w:rsidRDefault="00F21B73" w:rsidP="00F21B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F21B73">
              <w:rPr>
                <w:rFonts w:ascii="inherit" w:eastAsia="Times New Roman" w:hAnsi="inherit" w:cs="Calibri"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  <w:t>31</w:t>
            </w:r>
          </w:p>
        </w:tc>
      </w:tr>
    </w:tbl>
    <w:p w14:paraId="17F6B892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FFFFFF"/>
          <w:sz w:val="24"/>
          <w:szCs w:val="24"/>
          <w:bdr w:val="none" w:sz="0" w:space="0" w:color="auto" w:frame="1"/>
          <w:lang w:eastAsia="en-GB"/>
        </w:rPr>
        <w:t> 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6F1388FB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B7AEDDB" w14:textId="6480950C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Children within the Y2 and Y3 classes will be grouped to ensure an even distribution of ages across the five classes.</w:t>
      </w:r>
    </w:p>
    <w:p w14:paraId="1603E153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2DE7DCCF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Parents will be informed of class structures in advance of pupils’ Annual Progress Reports being issued.  </w:t>
      </w:r>
    </w:p>
    <w:p w14:paraId="330EB8C2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56D2AFDC" w14:textId="4637146C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Details of the class to which the child has been allocated, is recorded on the pupil’s Annual Progress Report, issued on </w:t>
      </w:r>
      <w:r w:rsidR="00D95521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22nd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June.</w:t>
      </w:r>
    </w:p>
    <w:p w14:paraId="6BB16C67" w14:textId="77777777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 </w:t>
      </w:r>
    </w:p>
    <w:p w14:paraId="10989153" w14:textId="3BCA190E" w:rsidR="00F21B73" w:rsidRPr="00F21B73" w:rsidRDefault="00F21B73" w:rsidP="00F21B73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There is no formal right to appeal against a decision on a child joining a composite class, however, if a parent feels the school has not adhered to this policy, they should raise their concern with the principal in the first instance.  If they are still not </w:t>
      </w:r>
      <w:r w:rsidR="000D3568"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>satisfied,</w:t>
      </w:r>
      <w:r w:rsidRPr="00F21B7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en-GB"/>
        </w:rPr>
        <w:t xml:space="preserve"> they should then contact the Chair of the Board of Governors.</w:t>
      </w:r>
    </w:p>
    <w:p w14:paraId="7BD69E5E" w14:textId="77777777" w:rsidR="00707AAF" w:rsidRDefault="00707AAF"/>
    <w:sectPr w:rsidR="00707A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73"/>
    <w:rsid w:val="00087262"/>
    <w:rsid w:val="000D3568"/>
    <w:rsid w:val="0012519E"/>
    <w:rsid w:val="006923A4"/>
    <w:rsid w:val="00707AAF"/>
    <w:rsid w:val="00D95521"/>
    <w:rsid w:val="00F2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64AED"/>
  <w15:chartTrackingRefBased/>
  <w15:docId w15:val="{C0A63AAE-0F6A-4C6D-B965-058B84AE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2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Walls</dc:creator>
  <cp:keywords/>
  <dc:description/>
  <cp:lastModifiedBy>H Walls</cp:lastModifiedBy>
  <cp:revision>3</cp:revision>
  <dcterms:created xsi:type="dcterms:W3CDTF">2023-04-18T14:19:00Z</dcterms:created>
  <dcterms:modified xsi:type="dcterms:W3CDTF">2023-05-09T07:25:00Z</dcterms:modified>
</cp:coreProperties>
</file>